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Expert Opinion for Relevancy Admissions and Statements a matter involving multiple persons or entities</w:t>
      </w:r>
    </w:p>
    <w:p>
      <w:pPr>
        <w:spacing w:before="0" w:after="160" w:line="269" w:lineRule="auto"/>
        <w:jc w:val="center"/>
      </w:pPr>
      <w:r>
        <w:rPr>
          <w:rFonts w:ascii="Times New Roman" w:hAnsi="Times New Roman"/>
          <w:b w:val="0"/>
          <w:i w:val="0"/>
          <w:color w:val="000000"/>
          <w:sz w:val="18"/>
        </w:rPr>
        <w:t>BSA Law drafts  |  Relevancy Admissions and Statements  |  Resource ID LAW-03-02-035</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expert opinion to identify the proposed material, its relevance, source, authenticity and method of proof, with a fair opportunity for objection in a matter concerning Relevancy Admissions and Statements.</w:t>
      </w:r>
    </w:p>
    <w:p>
      <w:pPr>
        <w:spacing w:before="0" w:after="100" w:line="269" w:lineRule="auto"/>
      </w:pPr>
      <w:r>
        <w:rPr>
          <w:rFonts w:ascii="Times New Roman" w:hAnsi="Times New Roman"/>
          <w:b w:val="0"/>
          <w:i w:val="0"/>
          <w:color w:val="000000"/>
          <w:sz w:val="22"/>
        </w:rPr>
        <w:t>Matter profile: a matter involving multiple persons or entities. Give each person a separate role. Do not use collective allegations where the underlying act or knowledge differs.</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Relevancy Admissions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expert opinion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LAW-03-02-035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Expert Opinion for Relevancy Admissions and Statements a matter involving multiple persons or entities</dc:title>
  <dc:subject>Original editable Indian legal drafting framework</dc:subject>
  <dc:creator>Legal Resource Library</dc:creator>
  <cp:keywords>BSA Law drafts; Relevancy Admissions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